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26B7" w14:textId="77777777" w:rsidR="00565252" w:rsidRDefault="00565252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</w:p>
    <w:p w14:paraId="4E877945" w14:textId="5D7AFFA4" w:rsidR="00565252" w:rsidRDefault="00565252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  <w:r w:rsidRPr="00565252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>Справка</w:t>
      </w:r>
    </w:p>
    <w:p w14:paraId="52AE28B1" w14:textId="2ECB7C79" w:rsidR="00565252" w:rsidRPr="00AE457C" w:rsidRDefault="00565252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</w:pPr>
      <w:r w:rsidRPr="00565252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 xml:space="preserve">об организации процедуры </w:t>
      </w:r>
      <w:r w:rsidR="00607F88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>пр</w:t>
      </w:r>
      <w:r w:rsidR="00607F88" w:rsidRPr="00607F88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>и</w:t>
      </w:r>
      <w:r w:rsidRPr="00565252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>обретения</w:t>
      </w:r>
      <w:r w:rsidRPr="00565252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 xml:space="preserve"> консультационных услуг в соответствии с законодательством РА </w:t>
      </w:r>
      <w:r w:rsidR="00AE457C" w:rsidRPr="00AE457C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>«</w:t>
      </w:r>
      <w:r w:rsidRPr="00565252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 xml:space="preserve"> </w:t>
      </w:r>
      <w:r w:rsidR="00AE457C" w:rsidRPr="00AE457C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 xml:space="preserve">О </w:t>
      </w:r>
      <w:r w:rsidRPr="00565252"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  <w:t>закупках</w:t>
      </w:r>
      <w:r w:rsidR="00AE457C" w:rsidRPr="00AE457C">
        <w:rPr>
          <w:rFonts w:ascii="GHEA Grapalat" w:eastAsia="Times New Roman" w:hAnsi="GHEA Grapalat"/>
          <w:b/>
          <w:noProof/>
          <w:sz w:val="28"/>
          <w:szCs w:val="28"/>
          <w:lang w:val="ru-RU" w:eastAsia="ru-RU"/>
        </w:rPr>
        <w:t>»</w:t>
      </w:r>
    </w:p>
    <w:p w14:paraId="47F3F090" w14:textId="7460A92A" w:rsidR="00565252" w:rsidRDefault="00565252" w:rsidP="00C36EB8">
      <w:pPr>
        <w:autoSpaceDE w:val="0"/>
        <w:autoSpaceDN w:val="0"/>
        <w:adjustRightInd w:val="0"/>
        <w:spacing w:before="0" w:after="0" w:line="360" w:lineRule="auto"/>
        <w:ind w:left="0" w:firstLine="720"/>
        <w:jc w:val="center"/>
        <w:rPr>
          <w:rFonts w:ascii="GHEA Grapalat" w:eastAsia="Times New Roman" w:hAnsi="GHEA Grapalat"/>
          <w:b/>
          <w:noProof/>
          <w:sz w:val="28"/>
          <w:szCs w:val="28"/>
          <w:lang w:val="hy-AM" w:eastAsia="ru-RU"/>
        </w:rPr>
      </w:pPr>
    </w:p>
    <w:p w14:paraId="3B469CD4" w14:textId="027E0E7F" w:rsidR="00565252" w:rsidRPr="00031A98" w:rsidRDefault="00565252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В соответствии с действующим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и</w:t>
      </w:r>
      <w:r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регулированиями</w:t>
      </w:r>
      <w:r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, консультационные услуги предоставляются в рамках двухэтапного конкурса путем организации процедуры предварительной квалификации.</w:t>
      </w:r>
    </w:p>
    <w:p w14:paraId="1930ABCD" w14:textId="3277060B" w:rsidR="00565252" w:rsidRPr="00BC61A0" w:rsidRDefault="00565252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/>
          <w:noProof/>
          <w:sz w:val="24"/>
          <w:szCs w:val="24"/>
          <w:u w:val="single"/>
          <w:lang w:val="hy-AM" w:eastAsia="ru-RU"/>
        </w:rPr>
      </w:pPr>
      <w:r w:rsidRPr="00BC61A0">
        <w:rPr>
          <w:rFonts w:ascii="GHEA Grapalat" w:eastAsia="Times New Roman" w:hAnsi="GHEA Grapalat"/>
          <w:b/>
          <w:noProof/>
          <w:sz w:val="24"/>
          <w:szCs w:val="24"/>
          <w:u w:val="single"/>
          <w:lang w:val="ru-RU" w:eastAsia="ru-RU"/>
        </w:rPr>
        <w:t>П</w:t>
      </w:r>
      <w:r w:rsidRPr="00BC61A0">
        <w:rPr>
          <w:rFonts w:ascii="GHEA Grapalat" w:eastAsia="Times New Roman" w:hAnsi="GHEA Grapalat"/>
          <w:b/>
          <w:noProof/>
          <w:sz w:val="24"/>
          <w:szCs w:val="24"/>
          <w:u w:val="single"/>
          <w:lang w:val="hy-AM" w:eastAsia="ru-RU"/>
        </w:rPr>
        <w:t>роцедуры предварительной квалификации</w:t>
      </w:r>
    </w:p>
    <w:p w14:paraId="55B404DD" w14:textId="046AC3D4" w:rsidR="00565252" w:rsidRPr="00031A98" w:rsidRDefault="00565252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целю организации процедуры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предварительной квалификации 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в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официальном 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справочник</w:t>
      </w:r>
      <w:r w:rsidR="00607F8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е закупок, действующему по адре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су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hyperlink r:id="rId5" w:history="1">
        <w:r w:rsidRPr="00031A98">
          <w:rPr>
            <w:rStyle w:val="Hyperlink"/>
            <w:rFonts w:ascii="GHEA Grapalat" w:eastAsia="Times New Roman" w:hAnsi="GHEA Grapalat"/>
            <w:noProof/>
            <w:sz w:val="24"/>
            <w:szCs w:val="24"/>
            <w:lang w:val="hy-AM" w:eastAsia="ru-RU"/>
          </w:rPr>
          <w:t>www.procurement.am</w:t>
        </w:r>
      </w:hyperlink>
      <w:r w:rsidR="00FA2B26" w:rsidRPr="00031A98">
        <w:rPr>
          <w:rStyle w:val="Hyperlink"/>
          <w:rFonts w:ascii="GHEA Grapalat" w:eastAsia="Times New Roman" w:hAnsi="GHEA Grapalat"/>
          <w:noProof/>
          <w:sz w:val="24"/>
          <w:szCs w:val="24"/>
          <w:lang w:val="ru-RU" w:eastAsia="ru-RU"/>
        </w:rPr>
        <w:t>,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публикуется объявление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на армянском, русском и английском языках. </w:t>
      </w:r>
      <w:r w:rsidR="0033431B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Каждый может принять участие</w:t>
      </w:r>
      <w:r w:rsidR="00607F88" w:rsidRPr="00607F8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в</w:t>
      </w:r>
      <w:r w:rsidR="0033431B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процедурах</w:t>
      </w:r>
      <w:r w:rsidR="00FA2B2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 независимо от того, является ли он резидентом РА или нет.</w:t>
      </w:r>
    </w:p>
    <w:p w14:paraId="7F6A1337" w14:textId="6618EE1B" w:rsidR="00FA2B26" w:rsidRPr="00031A98" w:rsidRDefault="00FA2B26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Объявление о предварительной квалификации содержит информацию о сроках подачи заявок, месте, квалификационных критериях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 предусмотренных для включения в список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предварительно квалифицированных участников, 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и документах, необходимых для его оценки.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Заявки могут быть поданы в запечатанном конверте или в электронном виде на армянском, русском или английском языке. В случае необходимости заинтересованные лица могут запросить и получить от комиссии </w:t>
      </w:r>
      <w:r w:rsidR="00BC61A0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разъяснения </w:t>
      </w:r>
      <w:r w:rsidR="00BC61A0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</w:t>
      </w:r>
      <w:r w:rsidR="00BC61A0" w:rsidRPr="00BC61A0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б</w:t>
      </w:r>
      <w:r w:rsidR="00BC61A0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объявлении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предварительной квалификации. </w:t>
      </w:r>
    </w:p>
    <w:p w14:paraId="5A77250F" w14:textId="24A2BA16" w:rsidR="007029F2" w:rsidRPr="00031A98" w:rsidRDefault="007029F2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Срок пода</w:t>
      </w:r>
      <w:r w:rsidR="00C461D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чи заявок должен быть не менее </w:t>
      </w:r>
      <w:r w:rsidR="00C461D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4</w:t>
      </w:r>
      <w:r w:rsidR="004A460B" w:rsidRPr="0086300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0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календарных дней.</w:t>
      </w:r>
    </w:p>
    <w:p w14:paraId="3DFA8A11" w14:textId="72951907" w:rsidR="007029F2" w:rsidRPr="00031A98" w:rsidRDefault="00F67BCF" w:rsidP="0056525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По решению </w:t>
      </w:r>
      <w:r w:rsidR="00CE55E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к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омиссии о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бъявление о предварительной квалификации, </w:t>
      </w:r>
      <w:r w:rsidR="0033431B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кроме 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публикации, может быть </w:t>
      </w:r>
      <w:r w:rsidR="00CD7ABF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предоставлено 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также 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по электронной почте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лицам, занимающимися деятельностью</w:t>
      </w:r>
      <w:r w:rsidR="007029F2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в области.</w:t>
      </w:r>
    </w:p>
    <w:p w14:paraId="565A8915" w14:textId="3BC6BF53" w:rsidR="0047636C" w:rsidRPr="00031A98" w:rsidRDefault="00F67BCF" w:rsidP="00F67BC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Заявки на участие в процедуре предварительной квалификации оцениваются Комиссией, и если в них фиксируются какие-либо несоответствия, то участнику предоставляется возможность исправить это.</w:t>
      </w:r>
    </w:p>
    <w:p w14:paraId="60D40C19" w14:textId="648F4B0C" w:rsidR="00F67BCF" w:rsidRPr="00031A98" w:rsidRDefault="00607F88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В спис</w:t>
      </w:r>
      <w:r w:rsidR="00F67BCF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ке предварительно квалифицированных участников включаются те участники, чьи заявки были оценены в соответствии с требованиями объявления, в</w:t>
      </w:r>
      <w:r w:rsidR="00A85DA8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том числе по части критерии квалификации. </w:t>
      </w:r>
    </w:p>
    <w:p w14:paraId="120980CF" w14:textId="0A744FD7" w:rsidR="00A85DA8" w:rsidRPr="00031A98" w:rsidRDefault="00A85DA8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lastRenderedPageBreak/>
        <w:t>После составления списка предварительно квалифицированных участников</w:t>
      </w:r>
      <w:r w:rsidR="006466E8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комитет утверждает приглашение первого этапа конкурса, по которому свойства предмета закупки определяются как предварительный вариант исполнения или функционального описания.</w:t>
      </w:r>
    </w:p>
    <w:p w14:paraId="2B27B403" w14:textId="52370396" w:rsidR="006466E8" w:rsidRPr="00031A98" w:rsidRDefault="006466E8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Подавать заявки могут только участники, прошедшие предварительную квалификацию.</w:t>
      </w:r>
    </w:p>
    <w:p w14:paraId="25536E11" w14:textId="210B26FA" w:rsidR="00A85DA8" w:rsidRPr="00031A98" w:rsidRDefault="005E7B1E" w:rsidP="003B7E41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u w:val="single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u w:val="single"/>
          <w:lang w:val="ru-RU" w:eastAsia="ru-RU"/>
        </w:rPr>
        <w:t>Первый этап конкурса</w:t>
      </w:r>
    </w:p>
    <w:p w14:paraId="35829DB4" w14:textId="362BD027" w:rsidR="005E7B1E" w:rsidRPr="00031A98" w:rsidRDefault="005E7B1E" w:rsidP="005E7B1E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На основе 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hy-AM" w:eastAsia="ru-RU"/>
        </w:rPr>
        <w:t>приглашения первого этапа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участники, прошедшие предварительную квалификацию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, 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в бумажном или электронном виде (на армянском, русск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ом или английском языке) представляют 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свои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предложения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относительно </w:t>
      </w:r>
      <w:r w:rsidR="009F1A37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ис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полнительного и функционального описания по представленному предмету закупки </w:t>
      </w:r>
      <w:r w:rsidR="00031A16"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(</w:t>
      </w:r>
      <w:r w:rsidR="00031A16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предложение описания</w:t>
      </w:r>
      <w:r w:rsidR="00031A16"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)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. </w:t>
      </w:r>
    </w:p>
    <w:p w14:paraId="50D44566" w14:textId="7ED1CF98" w:rsidR="005E7B1E" w:rsidRPr="00031A98" w:rsidRDefault="00045521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45521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Для</w:t>
      </w:r>
      <w:r w:rsidR="00031A16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 обоснования предложения описания участник может подать обосновывающие документы, информацию, заключения и другие материалы по первому этапу подачи заявки.</w:t>
      </w:r>
    </w:p>
    <w:p w14:paraId="72C550DA" w14:textId="58C86A12" w:rsidR="009F1A37" w:rsidRPr="00031A98" w:rsidRDefault="009F1A37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Срок подачи заявок должен быть не менее </w:t>
      </w:r>
      <w:r w:rsidR="00863008">
        <w:rPr>
          <w:rFonts w:ascii="GHEA Grapalat" w:eastAsia="Times New Roman" w:hAnsi="GHEA Grapalat"/>
          <w:bCs/>
          <w:noProof/>
          <w:sz w:val="24"/>
          <w:szCs w:val="24"/>
          <w:lang w:eastAsia="ru-RU"/>
        </w:rPr>
        <w:t>40</w:t>
      </w:r>
      <w:bookmarkStart w:id="0" w:name="_GoBack"/>
      <w:bookmarkEnd w:id="0"/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календарных дней.</w:t>
      </w:r>
    </w:p>
    <w:p w14:paraId="43353518" w14:textId="5216049C" w:rsidR="009F1A37" w:rsidRPr="00031A98" w:rsidRDefault="009F1A37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После истечения срока подачи заявок комис</w:t>
      </w:r>
      <w:r w:rsidR="00045521" w:rsidRPr="00045521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с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ия приглашает всех предварительно квалифицированных участников к одновременным переговорам.</w:t>
      </w:r>
    </w:p>
    <w:p w14:paraId="2017FBEB" w14:textId="275CCDE1" w:rsidR="009F1A37" w:rsidRPr="00031A98" w:rsidRDefault="009F1A37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Отдельные переговоры с участником,  представившего предложение описания, запрещены.</w:t>
      </w:r>
    </w:p>
    <w:p w14:paraId="2E52FCCB" w14:textId="5A66FB2C" w:rsidR="009F1A37" w:rsidRPr="00031A98" w:rsidRDefault="009F1A37" w:rsidP="00C6570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В результате переговоров подтверждается окончательное описание исполнения или функциональное описание предмета закупки с достаточной точностью, участникам и клиентам предоставляя возможность точного понимания предмета договора.</w:t>
      </w:r>
    </w:p>
    <w:p w14:paraId="6F8ED972" w14:textId="4E97D23E" w:rsidR="009F1A37" w:rsidRPr="00031A98" w:rsidRDefault="009F1A37" w:rsidP="009F1A3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u w:val="single"/>
          <w:lang w:val="ru-RU" w:eastAsia="ru-RU"/>
        </w:rPr>
      </w:pPr>
      <w:r w:rsidRPr="00F17A37">
        <w:rPr>
          <w:rFonts w:ascii="GHEA Grapalat" w:eastAsia="Times New Roman" w:hAnsi="GHEA Grapalat"/>
          <w:noProof/>
          <w:sz w:val="24"/>
          <w:szCs w:val="24"/>
          <w:u w:val="single"/>
          <w:lang w:val="ru-RU" w:eastAsia="ru-RU"/>
        </w:rPr>
        <w:t xml:space="preserve">Второй </w:t>
      </w:r>
      <w:r w:rsidRPr="00031A98">
        <w:rPr>
          <w:rFonts w:ascii="GHEA Grapalat" w:eastAsia="Times New Roman" w:hAnsi="GHEA Grapalat"/>
          <w:noProof/>
          <w:sz w:val="24"/>
          <w:szCs w:val="24"/>
          <w:u w:val="single"/>
          <w:lang w:val="ru-RU" w:eastAsia="ru-RU"/>
        </w:rPr>
        <w:t>этап конкурса</w:t>
      </w:r>
    </w:p>
    <w:p w14:paraId="316968F8" w14:textId="52EFA3A4" w:rsidR="00F41627" w:rsidRPr="00031A98" w:rsidRDefault="00F41627" w:rsidP="009F1A3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После </w:t>
      </w:r>
      <w:r w:rsidR="00045521" w:rsidRPr="00045521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получения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окончательного описания</w:t>
      </w:r>
      <w:r w:rsidR="00045521" w:rsidRPr="00045521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по решению комис</w:t>
      </w:r>
      <w:r w:rsidR="00045521" w:rsidRPr="00045521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ии по</w:t>
      </w:r>
      <w:r w:rsidR="00045521" w:rsidRPr="00045521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д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тверждается приглашение на 2-ой этап конкурса, который предоставляется всем участникам, прошедшим предварительную 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квалификацию.</w:t>
      </w:r>
    </w:p>
    <w:p w14:paraId="584855AA" w14:textId="2FC80E75" w:rsidR="00C65708" w:rsidRPr="00031A98" w:rsidRDefault="00F41627" w:rsidP="000F0C2E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Предусмотренный срок подачи заявок на 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2-ой этап 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должен быть не менее двадцати календарных дней. Заявка под</w:t>
      </w:r>
      <w:r w:rsidR="00045521" w:rsidRPr="00045521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а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ется в бумажном виде, в закрытом конверте (на армянском, русском или английском языках). Кроме того, </w:t>
      </w:r>
      <w:r w:rsidR="00F547F2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ценовое предложение, которое</w:t>
      </w:r>
      <w:r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 xml:space="preserve"> должна быть размещена в указанном конверте, должна быть закрыта</w:t>
      </w:r>
      <w:r w:rsidR="00F547F2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, в к</w:t>
      </w:r>
      <w:r w:rsidR="00ED2C82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лее</w:t>
      </w:r>
      <w:r w:rsidR="00F547F2" w:rsidRPr="00031A98">
        <w:rPr>
          <w:rFonts w:ascii="GHEA Grapalat" w:eastAsia="Times New Roman" w:hAnsi="GHEA Grapalat"/>
          <w:bCs/>
          <w:noProof/>
          <w:sz w:val="24"/>
          <w:szCs w:val="24"/>
          <w:lang w:val="ru-RU" w:eastAsia="ru-RU"/>
        </w:rPr>
        <w:t>ном отдельном конверте.</w:t>
      </w:r>
    </w:p>
    <w:p w14:paraId="3F825502" w14:textId="544090EB" w:rsidR="00F547F2" w:rsidRDefault="00F547F2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Кроме</w:t>
      </w:r>
      <w:r w:rsidRPr="00031A98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ценового предложения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заявка включает также документы, подтверждающие </w:t>
      </w:r>
      <w:r w:rsidR="00ED2C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соответствие</w:t>
      </w:r>
      <w:r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участника к квалификационным критериям</w:t>
      </w:r>
      <w:r w:rsidR="00B54A33" w:rsidRPr="00031A9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 и техническое предложение.</w:t>
      </w:r>
    </w:p>
    <w:p w14:paraId="68D5C573" w14:textId="27367877" w:rsidR="00F17A37" w:rsidRDefault="00F17A37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lastRenderedPageBreak/>
        <w:t xml:space="preserve">Конверты с ценовыми предложениями 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открыва</w:t>
      </w: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ю</w:t>
      </w:r>
      <w:r w:rsidR="00A260D2" w:rsidRPr="00A260D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т</w:t>
      </w: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ся после открытия заявок.</w:t>
      </w:r>
    </w:p>
    <w:p w14:paraId="04F904AF" w14:textId="3592484B" w:rsidR="00F17A37" w:rsidRPr="0071674A" w:rsidRDefault="00F17A37" w:rsidP="005235EF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Предложение 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участника</w:t>
      </w: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(ов), </w:t>
      </w:r>
      <w:r w:rsidR="00A707F8" w:rsidRP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представившего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лучшее техническое пред</w:t>
      </w:r>
      <w:r w:rsidR="00A707F8" w:rsidRP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ложение</w:t>
      </w:r>
      <w:r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="00A707F8"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в открытых конкурсах </w:t>
      </w:r>
      <w:r w:rsid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оценивает</w:t>
      </w:r>
      <w:r w:rsidR="00A707F8" w:rsidRPr="00F17A37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ся максимально </w:t>
      </w:r>
      <w:r w:rsidR="00A707F8" w:rsidRP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- </w:t>
      </w:r>
      <w:r w:rsidR="00A707F8"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«100» </w:t>
      </w:r>
      <w:r w:rsidR="00A707F8" w:rsidRP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баллов. Остальные технические предложения оцениваются </w:t>
      </w:r>
      <w:r w:rsid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</w:t>
      </w:r>
      <w:r w:rsidR="00A707F8" w:rsidRPr="00A707F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 сравнению с оцененным лучшим техническим предложением.</w:t>
      </w:r>
      <w:r w:rsidR="00587CED"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Тендерные предложения, не соответствующие минимальным требованиям для приглашения, считаются неудовлетворительными и отклоняются. П</w:t>
      </w:r>
      <w:r w:rsid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одтверждающи</w:t>
      </w:r>
      <w:r w:rsid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м результаты оценки</w:t>
      </w:r>
      <w:r w:rsid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заявок документом,</w:t>
      </w:r>
      <w:r w:rsidR="00587CED"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который отправляется участникам</w:t>
      </w:r>
      <w:r w:rsid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, подавшим заявки, </w:t>
      </w:r>
      <w:r w:rsidR="00587CED"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также указываются день, место и в</w:t>
      </w:r>
      <w:r w:rsid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ремя проведения вскрытия заявок, в том числе день </w:t>
      </w:r>
      <w:r w:rsidR="00917282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уведомления</w:t>
      </w:r>
      <w:r w:rsid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определяет</w:t>
      </w:r>
      <w:r w:rsidR="0071674A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ся не позднее пяти рабочих дней, следующих за днем отправки уведомления.</w:t>
      </w:r>
    </w:p>
    <w:p w14:paraId="6FAA4BD1" w14:textId="05D4DFC6" w:rsidR="00587CED" w:rsidRPr="00587CED" w:rsidRDefault="00587CED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587CED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Тендерные предложения участнико</w:t>
      </w:r>
      <w:r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в оцениваются следующим образом</w:t>
      </w:r>
      <w:r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:</w:t>
      </w:r>
    </w:p>
    <w:p w14:paraId="6A06A9C0" w14:textId="1D8694AC" w:rsidR="00587CED" w:rsidRDefault="00587CED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1) Финансовое предложение</w:t>
      </w:r>
      <w:r w:rsidRPr="00587CED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участника, </w:t>
      </w:r>
      <w:r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представившего</w:t>
      </w:r>
      <w:r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минимальное</w:t>
      </w:r>
      <w:r w:rsidRPr="00587CED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ценовое </w:t>
      </w:r>
      <w:r w:rsidRPr="00587CED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предложение</w:t>
      </w:r>
      <w:r w:rsidR="00067527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, оценивается в сто баллов, а </w:t>
      </w:r>
      <w:r w:rsidR="00067527" w:rsidRPr="00067527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>оценки финансовых предложений других участников рассчитываются по следующей формуле</w:t>
      </w:r>
    </w:p>
    <w:p w14:paraId="5DC41291" w14:textId="61762CCE" w:rsidR="00917282" w:rsidRDefault="00067527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ЦЕ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=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МЕ × 100/</w:t>
      </w:r>
      <w:r>
        <w:rPr>
          <w:rFonts w:ascii="GHEA Grapalat" w:eastAsia="Times New Roman" w:hAnsi="GHEA Grapalat"/>
          <w:noProof/>
          <w:sz w:val="24"/>
          <w:szCs w:val="24"/>
          <w:lang w:eastAsia="ru-RU"/>
        </w:rPr>
        <w:t>O</w:t>
      </w:r>
      <w:r w:rsid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Ц,</w:t>
      </w:r>
    </w:p>
    <w:p w14:paraId="69FE0DF4" w14:textId="72084480" w:rsidR="00587CED" w:rsidRPr="00824A28" w:rsidRDefault="00917282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г</w:t>
      </w:r>
      <w:r w:rsidR="00067527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де</w:t>
      </w:r>
      <w:r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:</w:t>
      </w:r>
    </w:p>
    <w:p w14:paraId="1A1E23B8" w14:textId="463C1651" w:rsidR="00067527" w:rsidRPr="0071674A" w:rsidRDefault="00067527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ЦЕ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="0071674A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-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="006648C3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это еди</w:t>
      </w:r>
      <w:r w:rsidR="0071674A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ница</w:t>
      </w:r>
      <w:r w:rsidR="00824A28"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 данная</w:t>
      </w:r>
      <w:r w:rsidR="0071674A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за ценовое предложение</w:t>
      </w:r>
      <w:r w:rsidR="00824A28"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участника</w:t>
      </w:r>
      <w:r w:rsidR="0071674A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</w:t>
      </w:r>
    </w:p>
    <w:p w14:paraId="0B50D4CD" w14:textId="1D5DDF33" w:rsidR="0071674A" w:rsidRDefault="0071674A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МЕ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- это минимальная цена, цена, </w:t>
      </w:r>
    </w:p>
    <w:p w14:paraId="72F93597" w14:textId="15D22EE1" w:rsidR="0071674A" w:rsidRDefault="0071674A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noProof/>
          <w:sz w:val="24"/>
          <w:szCs w:val="24"/>
          <w:lang w:eastAsia="ru-RU"/>
        </w:rPr>
        <w:t>O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Ц –</w:t>
      </w:r>
      <w:r w:rsidR="00917282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 э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то 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оценочная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цена, предложенная участником</w:t>
      </w:r>
    </w:p>
    <w:p w14:paraId="2805C028" w14:textId="47EC2576" w:rsidR="0071674A" w:rsidRDefault="0071674A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2) Оценка, присуждаемая каждому технически квалифицированному участнику, рассчитывается по следующей формуле:</w:t>
      </w:r>
    </w:p>
    <w:p w14:paraId="66349248" w14:textId="4238E639" w:rsidR="00917282" w:rsidRPr="00917282" w:rsidRDefault="00917282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ОУ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=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917282">
        <w:rPr>
          <w:lang w:val="ru-RU"/>
        </w:rPr>
        <w:t>(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ЦЕ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×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0.7) + ( ТП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×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0.3),</w:t>
      </w:r>
    </w:p>
    <w:p w14:paraId="4965ECE5" w14:textId="5451D66D" w:rsidR="00917282" w:rsidRPr="00917282" w:rsidRDefault="00917282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где</w:t>
      </w:r>
    </w:p>
    <w:p w14:paraId="487E460E" w14:textId="7A0495F0" w:rsidR="0071674A" w:rsidRPr="00824A28" w:rsidRDefault="00917282" w:rsidP="00067527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ОУ</w:t>
      </w:r>
      <w:r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-это оценка, данная участнику</w:t>
      </w:r>
    </w:p>
    <w:p w14:paraId="75F3985A" w14:textId="45F17A2E" w:rsidR="00824A28" w:rsidRDefault="00824A28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ЦЕ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-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="006648C3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это еди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ница</w:t>
      </w:r>
      <w:r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 данная</w:t>
      </w:r>
      <w:r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за ценовое предложение</w:t>
      </w:r>
      <w:r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участника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</w:p>
    <w:p w14:paraId="50B36161" w14:textId="64574C24" w:rsidR="00824A28" w:rsidRDefault="00917282" w:rsidP="00824A2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ТП</w:t>
      </w:r>
      <w:r w:rsidRPr="00E01EC1">
        <w:rPr>
          <w:rFonts w:ascii="GHEA Grapalat" w:eastAsia="Times New Roman" w:hAnsi="GHEA Grapalat"/>
          <w:noProof/>
          <w:sz w:val="24"/>
          <w:szCs w:val="24"/>
          <w:lang w:val="hy-AM" w:eastAsia="ru-RU"/>
        </w:rPr>
        <w:t xml:space="preserve"> </w:t>
      </w:r>
      <w:r w:rsidR="00824A28"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- </w:t>
      </w:r>
      <w:r w:rsidR="006648C3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это еди</w:t>
      </w:r>
      <w:r w:rsidR="00824A28" w:rsidRPr="0071674A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ница</w:t>
      </w:r>
      <w:r w:rsidR="00824A28" w:rsidRPr="00824A28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, данная техническому предложению участника</w:t>
      </w:r>
      <w:r w:rsidR="00C70892"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.</w:t>
      </w:r>
      <w:r w:rsidR="00824A28"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</w:p>
    <w:p w14:paraId="5075BBD5" w14:textId="75B1DCBD" w:rsidR="00C70892" w:rsidRPr="00824A28" w:rsidRDefault="00C70892" w:rsidP="00C7089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  <w:r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Выбраным участником признается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тот </w:t>
      </w:r>
      <w:r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участник, чья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оценка</w:t>
      </w:r>
      <w:r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(</w:t>
      </w:r>
      <w:r w:rsidRPr="0091728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ОУ</w:t>
      </w:r>
      <w:r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)</w:t>
      </w:r>
      <w:r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 xml:space="preserve"> </w:t>
      </w:r>
      <w:r w:rsidRPr="00C70892">
        <w:rPr>
          <w:rFonts w:ascii="GHEA Grapalat" w:eastAsia="Times New Roman" w:hAnsi="GHEA Grapalat"/>
          <w:noProof/>
          <w:sz w:val="24"/>
          <w:szCs w:val="24"/>
          <w:lang w:val="ru-RU" w:eastAsia="ru-RU"/>
        </w:rPr>
        <w:t>является самой высокой.</w:t>
      </w:r>
    </w:p>
    <w:p w14:paraId="472147A6" w14:textId="2BA3B8A8" w:rsidR="00917282" w:rsidRPr="00824A28" w:rsidRDefault="00917282" w:rsidP="00824A28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ru-RU" w:eastAsia="ru-RU"/>
        </w:rPr>
      </w:pPr>
    </w:p>
    <w:p w14:paraId="74E32EA1" w14:textId="77777777" w:rsidR="00917282" w:rsidRDefault="00917282" w:rsidP="00FF7062">
      <w:pPr>
        <w:autoSpaceDE w:val="0"/>
        <w:autoSpaceDN w:val="0"/>
        <w:adjustRightInd w:val="0"/>
        <w:spacing w:before="0" w:after="0" w:line="360" w:lineRule="auto"/>
        <w:ind w:left="0" w:firstLine="720"/>
        <w:jc w:val="both"/>
        <w:rPr>
          <w:rFonts w:ascii="GHEA Grapalat" w:eastAsia="Times New Roman" w:hAnsi="GHEA Grapalat"/>
          <w:noProof/>
          <w:sz w:val="24"/>
          <w:szCs w:val="24"/>
          <w:lang w:val="hy-AM" w:eastAsia="ru-RU"/>
        </w:rPr>
      </w:pPr>
    </w:p>
    <w:p w14:paraId="58D8DDCB" w14:textId="2A820884" w:rsidR="00C65708" w:rsidRPr="00E01EC1" w:rsidRDefault="00C65708" w:rsidP="00C56AAC">
      <w:pPr>
        <w:shd w:val="clear" w:color="auto" w:fill="FFFFFF"/>
        <w:spacing w:before="0" w:after="0" w:line="360" w:lineRule="auto"/>
        <w:ind w:left="0" w:firstLine="375"/>
        <w:rPr>
          <w:rFonts w:ascii="GHEA Grapalat" w:eastAsia="Times New Roman" w:hAnsi="GHEA Grapalat"/>
          <w:noProof/>
          <w:color w:val="000000"/>
          <w:sz w:val="24"/>
          <w:szCs w:val="24"/>
          <w:lang w:val="hy-AM"/>
        </w:rPr>
      </w:pPr>
    </w:p>
    <w:sectPr w:rsidR="00C65708" w:rsidRPr="00E01EC1" w:rsidSect="00BC61A0">
      <w:pgSz w:w="12240" w:h="15840"/>
      <w:pgMar w:top="567" w:right="90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352F"/>
    <w:multiLevelType w:val="hybridMultilevel"/>
    <w:tmpl w:val="351E3556"/>
    <w:lvl w:ilvl="0" w:tplc="64F4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665B7"/>
    <w:multiLevelType w:val="hybridMultilevel"/>
    <w:tmpl w:val="D646D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5"/>
    <w:rsid w:val="00013993"/>
    <w:rsid w:val="00031A16"/>
    <w:rsid w:val="00031A98"/>
    <w:rsid w:val="000377E4"/>
    <w:rsid w:val="00041498"/>
    <w:rsid w:val="00041DF5"/>
    <w:rsid w:val="00045521"/>
    <w:rsid w:val="00067527"/>
    <w:rsid w:val="0007090E"/>
    <w:rsid w:val="000A0215"/>
    <w:rsid w:val="000F0C2E"/>
    <w:rsid w:val="00163A44"/>
    <w:rsid w:val="00174350"/>
    <w:rsid w:val="0018422F"/>
    <w:rsid w:val="001D1C1C"/>
    <w:rsid w:val="002128AD"/>
    <w:rsid w:val="002234F7"/>
    <w:rsid w:val="00250C72"/>
    <w:rsid w:val="00295648"/>
    <w:rsid w:val="002A6323"/>
    <w:rsid w:val="0033431B"/>
    <w:rsid w:val="003605DC"/>
    <w:rsid w:val="00383BBA"/>
    <w:rsid w:val="003B7E41"/>
    <w:rsid w:val="003F78E0"/>
    <w:rsid w:val="00402A6D"/>
    <w:rsid w:val="004570F8"/>
    <w:rsid w:val="0047636C"/>
    <w:rsid w:val="004823C8"/>
    <w:rsid w:val="004A460B"/>
    <w:rsid w:val="004F39E9"/>
    <w:rsid w:val="00500C5B"/>
    <w:rsid w:val="005235EF"/>
    <w:rsid w:val="00565252"/>
    <w:rsid w:val="00587CED"/>
    <w:rsid w:val="0059147C"/>
    <w:rsid w:val="005B19AE"/>
    <w:rsid w:val="005B3558"/>
    <w:rsid w:val="005C2612"/>
    <w:rsid w:val="005C40D3"/>
    <w:rsid w:val="005E7B1E"/>
    <w:rsid w:val="00607F88"/>
    <w:rsid w:val="0062190D"/>
    <w:rsid w:val="006466E8"/>
    <w:rsid w:val="006546FC"/>
    <w:rsid w:val="006648C3"/>
    <w:rsid w:val="006B0C29"/>
    <w:rsid w:val="006E0D92"/>
    <w:rsid w:val="007029F2"/>
    <w:rsid w:val="0070774F"/>
    <w:rsid w:val="0071674A"/>
    <w:rsid w:val="007D7646"/>
    <w:rsid w:val="0081420B"/>
    <w:rsid w:val="00824A28"/>
    <w:rsid w:val="00845D35"/>
    <w:rsid w:val="008578B4"/>
    <w:rsid w:val="00863008"/>
    <w:rsid w:val="008C3402"/>
    <w:rsid w:val="008E493A"/>
    <w:rsid w:val="00917282"/>
    <w:rsid w:val="00943648"/>
    <w:rsid w:val="009C529E"/>
    <w:rsid w:val="009D2E69"/>
    <w:rsid w:val="009F1A37"/>
    <w:rsid w:val="00A118CC"/>
    <w:rsid w:val="00A23E3D"/>
    <w:rsid w:val="00A260D2"/>
    <w:rsid w:val="00A306F5"/>
    <w:rsid w:val="00A707F8"/>
    <w:rsid w:val="00A70954"/>
    <w:rsid w:val="00A85DA8"/>
    <w:rsid w:val="00AD664F"/>
    <w:rsid w:val="00AD6DF4"/>
    <w:rsid w:val="00AE457C"/>
    <w:rsid w:val="00AF446C"/>
    <w:rsid w:val="00AF7853"/>
    <w:rsid w:val="00B019A1"/>
    <w:rsid w:val="00B27C8E"/>
    <w:rsid w:val="00B43098"/>
    <w:rsid w:val="00B51667"/>
    <w:rsid w:val="00B54A33"/>
    <w:rsid w:val="00B80738"/>
    <w:rsid w:val="00BC61A0"/>
    <w:rsid w:val="00C16B7D"/>
    <w:rsid w:val="00C22570"/>
    <w:rsid w:val="00C36EB8"/>
    <w:rsid w:val="00C461D8"/>
    <w:rsid w:val="00C56AAC"/>
    <w:rsid w:val="00C57945"/>
    <w:rsid w:val="00C65708"/>
    <w:rsid w:val="00C70892"/>
    <w:rsid w:val="00C76073"/>
    <w:rsid w:val="00C77DBB"/>
    <w:rsid w:val="00C81239"/>
    <w:rsid w:val="00CB6C26"/>
    <w:rsid w:val="00CC5240"/>
    <w:rsid w:val="00CD7ABF"/>
    <w:rsid w:val="00CE55E2"/>
    <w:rsid w:val="00CF1F70"/>
    <w:rsid w:val="00D764F0"/>
    <w:rsid w:val="00D80E43"/>
    <w:rsid w:val="00D91D3E"/>
    <w:rsid w:val="00D97413"/>
    <w:rsid w:val="00DD2335"/>
    <w:rsid w:val="00DF49DE"/>
    <w:rsid w:val="00E01EC1"/>
    <w:rsid w:val="00E41BCF"/>
    <w:rsid w:val="00E5553A"/>
    <w:rsid w:val="00E922FF"/>
    <w:rsid w:val="00E97232"/>
    <w:rsid w:val="00ED2C82"/>
    <w:rsid w:val="00EE2309"/>
    <w:rsid w:val="00F041AC"/>
    <w:rsid w:val="00F17A37"/>
    <w:rsid w:val="00F30214"/>
    <w:rsid w:val="00F41627"/>
    <w:rsid w:val="00F547F2"/>
    <w:rsid w:val="00F67BCF"/>
    <w:rsid w:val="00F87A87"/>
    <w:rsid w:val="00FA2B26"/>
    <w:rsid w:val="00FB097B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E9F"/>
  <w15:docId w15:val="{0453FC19-C90C-4C4D-B503-1E31A38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8E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27C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B27C8E"/>
    <w:rPr>
      <w:color w:val="0000FF"/>
      <w:u w:val="single"/>
    </w:rPr>
  </w:style>
  <w:style w:type="paragraph" w:styleId="NoSpacing">
    <w:name w:val="No Spacing"/>
    <w:uiPriority w:val="1"/>
    <w:qFormat/>
    <w:rsid w:val="00B27C8E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605DC"/>
    <w:pPr>
      <w:shd w:val="clear" w:color="auto" w:fill="FFFFFF"/>
      <w:overflowPunct w:val="0"/>
      <w:autoSpaceDE w:val="0"/>
      <w:autoSpaceDN w:val="0"/>
      <w:adjustRightInd w:val="0"/>
      <w:spacing w:before="0" w:after="0" w:line="360" w:lineRule="auto"/>
      <w:ind w:left="0" w:firstLine="0"/>
      <w:jc w:val="both"/>
      <w:textAlignment w:val="baseline"/>
    </w:pPr>
    <w:rPr>
      <w:rFonts w:ascii="Arial Armenian" w:eastAsia="Times New Roman" w:hAnsi="Arial Armenian"/>
      <w:szCs w:val="20"/>
    </w:rPr>
  </w:style>
  <w:style w:type="character" w:customStyle="1" w:styleId="BodyTextChar">
    <w:name w:val="Body Text Char"/>
    <w:basedOn w:val="DefaultParagraphFont"/>
    <w:link w:val="BodyText"/>
    <w:rsid w:val="003605DC"/>
    <w:rPr>
      <w:rFonts w:ascii="Arial Armenian" w:eastAsia="Times New Roman" w:hAnsi="Arial Armenian" w:cs="Times New Roman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C16B7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95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B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9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6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https:/mul2-minfin.gov.am/tasks/118369/oneclick/grutyun_HK.docx?token=8a2bbdbd447dfce4dceb5ec6b23b7238</cp:keywords>
  <cp:lastModifiedBy>Gor Hakobyan</cp:lastModifiedBy>
  <cp:revision>40</cp:revision>
  <dcterms:created xsi:type="dcterms:W3CDTF">2019-12-26T10:59:00Z</dcterms:created>
  <dcterms:modified xsi:type="dcterms:W3CDTF">2020-02-28T13:26:00Z</dcterms:modified>
</cp:coreProperties>
</file>